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134 vom 9. September 2019</w:t>
      </w:r>
    </w:p>
    <w:p>
      <w:r>
        <w:t>SZ Gerichte, 2019-09-09, DE</w:t>
      </w:r>
    </w:p>
    <w:p>
      <w:r>
        <w:rPr>
          <w:b/>
        </w:rPr>
        <w:t xml:space="preserve">Quelle: </w:t>
      </w:r>
      <w:r>
        <w:t>https://mcp.opencaselaw.ch/entscheid/sz_gerichte_BEK 2019 134</w:t>
      </w:r>
    </w:p>
    <w:p>
      <w:r>
        <w:t>FR: SZ_GERICHTE BEK 2019 134 du 9 septembre 2019</w:t>
      </w:r>
    </w:p>
    <w:p>
      <w:r>
        <w:t>IT: SZ_GERICHTE BEK 2019 134 del 9 settembre 2019</w:t>
      </w:r>
    </w:p>
    <w:p>
      <w:pPr>
        <w:pStyle w:val="Heading2"/>
      </w:pPr>
      <w:r>
        <w:t>Regeste</w:t>
      </w:r>
    </w:p>
    <w:p>
      <w:r>
        <w:t>Konkurseröffnung | Küssnacht ER SchKG/Liq.-Sachen</w:t>
      </w:r>
    </w:p>
    <w:p>
      <w:pPr>
        <w:pStyle w:val="Heading2"/>
      </w:pPr>
      <w:r>
        <w:t>Erwägungen</w:t>
      </w:r>
    </w:p>
    <w:p>
      <w:r>
        <w:rPr>
          <w:b/>
        </w:rPr>
        <w:t>E. 1</w:t>
      </w:r>
    </w:p>
    <w:p>
      <w:r>
        <w:t>Am 14. Mai 2019 ersuchte die Schweizerische Eidgenossenschaft, ver- treten durch die Eidg. Steuerverwaltung (ESTV), ohne vorgängige Betreibung gestützt auf Art. 190 Abs. 1 Ziff. 2 SchKG bei der Vorinstanz um die Konkur- seröffnung über die A.________ AG (Vi-act. GA2). In der Folge gewährte der Einzelrichter den Parteien bzw. der Gesuchsgegnerin das rechtliche Gehör unter der Androhung von Säumnisfolgen (vgl. Vi-act. GA3, GA9 und GA10). Am 4. Juli 2019 eröffnete der Einzelrichter den Konkurs über die Gesuchs- gegnerin.</w:t>
      </w:r>
    </w:p>
    <w:p>
      <w:r>
        <w:rPr>
          <w:b/>
        </w:rPr>
        <w:t>E. 2</w:t>
      </w:r>
    </w:p>
    <w:p>
      <w:r>
        <w:t>Gegen die Konkurseröffnung erhob die Gesuchsgegnerin (nachfolgend: Beschwerdeführerin) innert Frist Beschwerde (KG-act. 2) bzw. reichte recht- zeitig eine ergänzte Beschwerdeschrift ein (KG-act. 4) und leistete den am 19. Juli 2019 verfügten Kostenvorschuss von Fr. 750.00 (KG-act. 3). Mit Ver- fügung vom 19. Juli 2019 wurde die Beschwerdeführerin im Weiteren angehal- ten, bis zum Ablauf der Rechtsmittelfrist die Tilgung der Schuld sowie der erst- instanzlichen Gerichtskosten von Fr. 300.00 durch Urkunden nachzuweisen oder den geschuldeten Betrag beim Kantonsgericht zu hinterlegen oder einen Verzicht der Gläubigerin auf Konkursdurchführung vorzulegen sowie zusätz- lich innert dieser Frist ihre Zahlungsfähigkeit im Sinne von Art. 174 Abs. 2 SchKG glaubhaft zu machen, insbesondere durch Einreichung eines Zwi- schenabschlusses mit Aktiven und Passiven samt Bankauszügen, vollständi- gen Kreditoren- und Debitorenlisten sowie einem aktuellen Betreibungsauszug nebst Nachweis, dass Betreibungsforderungen mit Konkursandrohung bezahlt und/oder zumindest gedeckt sind mit der Androhung, dass im Unterlassungs- fall aufgrund der Akten entschieden werde (KG-act. 3 Ziff. 3). Mit (ergänzter) Eingabe vom 31. Juli 2019 (Postaufgabe: 5. August 2019) be- antragte die Beschwerdeführerin, die Beschwerdegegnerin sei zur Richtig- stellung der gegenüber der Vorinstanz gemachten Angaben aufzufordern, und</w:t>
      </w:r>
    </w:p>
    <w:p>
      <w:r>
        <w:t>Kantonsgericht Schwyz 3 hielt darüber hinaus unter anderem fest, dass sie derzeit am Erstellen der Jah- resrechnungen 2017, 2018 und eines Halbjahresabschlusses 2019 seien. Auch erfolge eine Bereinigung des Betreibungsauszugs (zum Ganzen vgl. KG-act. 4). Der Aufforderung zur Einreichung der in der Präsidialverfü- gung vom 19. Juli 2019 zitierten Unterlagen kam die Beschwerdeführerin in- nert Frist bzw. auch bis heute nicht nach. Am 16. August 2019 nahm die Beschwerdegegnerin Stellung zur Beschwerde (KG-act. 6), welche Eingabe der Beschwerdeführerin zur Kenntnisnahme und zur freiwilligen Stellungnahme zugestellt wurde (KG-act. 7).</w:t>
      </w:r>
    </w:p>
    <w:p>
      <w:r>
        <w:rPr>
          <w:b/>
        </w:rPr>
        <w:t>E. 3</w:t>
      </w:r>
    </w:p>
    <w:p>
      <w:r>
        <w:t>Die Beschwerdeführerin wendet ein, dass das Vorbringen der Be- schwerdegegnerin vor dem Einzelrichter, die Beschwerdeführerin habe seit Ende 2017 keine Zahlungen mehr für die Mehrwertsteuer geleistet, unrichtig sei. Trotz Einreichung der MWST-Abrechnung seien die zuvor erfolgten Schätzungen, auf die sich die Beschwerdegegnerin berufe und auf die sich die erwähnten Verlustscheine beziehen würden, nicht korrigiert worden, obschon dies früher auch ohne ausdrücklichen Einspruch erfolgt sei. Für das Steuer- jahr 2017 seien die MWST-Abrechnungen für die Quartale 1–4/2017 zwischen dem 10. November 2017 und dem 5. Juni 2018 eingereicht worden, woraus sich eine Zahlungsverpflichtung in der Höhe von Fr. 1‘892.40 ergebe. Dafür habe die Beschwerdeführerin beim Betreibungsamt Küssnacht zuhanden der Beschwerdegegnerin am 16. Januar 2018 Fr. 464.60, am 2. Juli 2018 Fr. 812.97, am 9. Juli 2018 Fr. 481.00 und am 31. Juli 2018 Fr. 455.70, total Fr. 2‘214.27 geleistet (KG-act. 4, S. 1). Die Beschwerdeführerin habe auf- grund leicht steigender Umsätze und dank finanzieller Unterstützung durch den Präsidenten des Verwaltungsrats 2018 und 2019 fast alle Altlasten und Zahlungsverpflichtungen tilgen können. Derzeit erfolge eine Bereinigung des Betreibungsauszuges und mit weiteren finanziellen Unterstützungen würden auch die restlichen Zahlungsverpflichtungen erfüllt werden können.</w:t>
      </w:r>
    </w:p>
    <w:p>
      <w:r>
        <w:t>Kantonsgericht Schwyz 4 a) Mit der Beschwerde kann die offensichtlich unrichtige Feststellung des Sachverhaltes geltend gemacht werden (Art. 320 lit. a und b ZPO). Offensicht- liche Unrichtigkeit liegt insbesondere vor, wenn die Feststellung des Sachver- haltes aktenwidrig ist oder aktenkundige rechtserhebliche Tatsachen schlicht- weg übersehen worden sind (BK ZPO-Sterchi, Art. 320 N 6). b) Im Konkurseröffnungsverfahren nach Art. 190 SchKG gilt der Untersu- chungsgrundsatz (Art. 255 ZPO). Trotzdem müssen die Parteien mitwirken. Sie haben die erforderlichen Beweismittel zu bezeichnen – allenfalls unter Mithilfe des Gerichtes. Das Konkursgericht hat den Sachverhalt nur von Am- tes wegen festzustellen und muss ihn nicht erforschen (BSK SchKG II- Brunner/Boller, Art. 190 N 25). Unbestritten ist, dass die Beschwerdeführerin sich vor Vorinstanz nicht vernehmen liess. Die Vorinstanz hatte keinen Anlass, weitere Beweise zu erheben, was die Beschwerdeführerin zu Recht nicht be- hauptet. Der angefochtene Entscheid widerspricht auch nicht den damals vor- liegenden Akten. c) Die Vorinstanz eröffnete den Konkurs über die Beschwerdeführerin in- folge Zahlungseinstellung. aa) Eine Zahlungseinstellung nach Art. 190 Abs. 1 Ziff. 2 SchKG liegt vor, wenn der Schuldner nicht in der Lage ist, die unbestrittenen und fälligen For- derungen seiner Gläubiger zu erfüllen. Bloss vorübergehende Zahlungs- schwierigkeiten reichen nicht aus. Es muss in objektiver Hinsicht eine Illiqui- dität des Schuldners auf unbestimmte Zeit vorliegen. Nicht erforderlich ist hin- gegen, dass der Schuldner sämtliche Zahlungen einstellt. Vielmehr genügt, dass die Zahlungsverweigerung einen wesentlichen Teil seiner geschäftlichen Aktivitäten betrifft oder der Schuldner einen Hauptgläubiger bzw. eine be- stimmte Gläubigerkategorie nicht befriedigt. Zahlungseinstellung liegt dem- nach vor, wenn der Schuldner unbestrittene und fällige Forderungen nicht be- gleicht, Betreibungen gegen sich auflaufen lässt, systematisch Rechtsvor-</w:t>
      </w:r>
    </w:p>
    <w:p>
      <w:r>
        <w:t>Kantonsgericht Schwyz 5 schlag erhebt oder selbst kleine Beträge nicht mehr bezahlt (Urteil des Bun- desgerichts, 5P.66/2004, vom 23. März 2004, E. 2; Jolanta Kren Kostkiewicz, Schuldbetreibungs- und Konkursrecht, 3. A., 2018, N 1177). Die Beweislast für den materiellen Konkursgrund liegt beim Gläubiger. Dies schliesst indes- sen grundsätzlich nicht aus, dass der Konkursrichter im Fall der Säumnis des Schuldners aufgrund der Vorbringen der gesuchstellenden Partei und der Ak- ten zu entscheiden hat (Urteil des Obergerichts des Kantons Thurgau, RBOG 2001 Nr. 22, vom 13. August 2001, E. 2.b). bb) Wie schon erwähnt, liess sich die Beschwerdeführerin vor Vorinstanz nicht vernehmen, sodass der Vorderrichter aufgrund der Akten zu entscheiden hatte. Die Beschwerdegegnerin begründete ihr Konkursbegehren damit, dass die Beschwerdeführerin ihre Zahlungen gegenüber der Eidg. Steuerverwal- tung (ESTV) eingestellt habe und bei der Beschwerdeführerin eine tief grei- fende und dauernde Zahlungsunfähigkeit vorliege. Für ausstehende Zahlun- gen resp. Bussen bestünden neun Verluststeine im Totalbetrag von Fr. 28'770.15. Im Moment seien keine Betreibungen offen. Die Abrechnung für das 4. Quartal 2017 über Fr. 695.17 sei eingereicht, aber noch nicht bezahlt worden. Die Abrechnungen für die ersten drei Quartale 2018 seien nicht ein- gereicht worden. Das 1. Quartal sei mit Fr. 2'900.00, das 2. Quartal mit Fr. 3'000.00 und das 3. Quartal mit Fr. 4'500.00 eingeschätzt worden. Diese Schätzungen seien noch nicht in Betreibung gesetzt worden. Die Steuern für das 4. Quartal 2018 seien weder abgerechnet noch bezahlt worden (Vi- act. GA2 S. 2). cc) Der von der Beschwerdegegnerin eingereichte Betreibungsauszug vom 20. März 2019 weist für den Zeitraum ab 19. Mai 2014 insgesamt 25 Betrei- bungen aus (Vi-act. GA2 Beilage 3). Die Mehrheit der Betreibungen betrifft öffentlich-rechtliche Forderungen (Schweizerische Eidgenossenschaft, Kanton Schwyz, Bezirk Küssnacht, Ausgleichkasse Schwyz). Bei zehn Betreibungen kam es zu Verlustscheinen, davon neun zugunsten der Eidg. Steuerverwal-</w:t>
      </w:r>
    </w:p>
    <w:p>
      <w:r>
        <w:t>Kantonsgericht Schwyz 6 tung für betriebene Forderungen in der Höhe von total Fr. 36'110.00 bzw. ent- sprechend den Ausführungen der Beschwerdegegnerin für (Rest-) Forderungen von noch insgesamt Fr. 28'770.15 (Vi-act. GA2 Beilage 4). Zu- dem sind im eingereichten Auszug aus dem Betreibungsregister fünf Betrei- bungen mit Konkursandrohungen in der Höhe von total Fr. 7'135.30 verzeich- net. dd) Die Beschwerdegegnerin legte vor Vorinstanz rechtsgenüglich dar, dass sich die Beschwerdeführerin seit einigen Jahren in Zahlungsschwierigkeiten befindet, seit September 2018 bis zur Einreichung des Konkursbegehrens am 14. Mai 2019 keine Zahlungen an die ESTV mehr leistete und selbst die Zah- lung von fälligen und unbestrittenen Forderungen nicht beglich, indem sie bei- spielsweise den Betrag gemäss der eingereichten Abrechnung für das</w:t>
      </w:r>
    </w:p>
    <w:p>
      <w:r>
        <w:rPr>
          <w:b/>
        </w:rPr>
        <w:t>E. 4</w:t>
      </w:r>
    </w:p>
    <w:p>
      <w:r>
        <w:t>Soweit die Beschwerdeführerin eine Korrektur der Steuerbeträge 2018 (sinngemäss) beantragt (KG-act 4 S. 2 erster Abschnitt), ist sie damit vorlie- gend nicht zu hören bzw. ist auf diesen Antrag mangels Zuständigkeit nicht einzutreten.</w:t>
      </w:r>
    </w:p>
    <w:p>
      <w:r>
        <w:rPr>
          <w:b/>
        </w:rPr>
        <w:t>E. 5</w:t>
      </w:r>
    </w:p>
    <w:p>
      <w:r>
        <w:t>Zusammenfassend ist die Beschwerde unbegründet und folglich abzu- weisen, soweit darauf einzutreten ist. Ausgangsgemäss sind die Kosten des Beschwerdeverfahrens der Beschwerdeführerin aufzuerlegen (Art. 106 Abs. 1 ZPO). Von der Zusprechung einer Parteientschädigung für den Ersatz not- wendiger Auslagen (Art. 95 Abs. 3 lit. a ZPO) bzw. einer Umtriebsentschädi- gung (Art. 95 Abs. 3 lit. c ZPO) an die nicht anwaltlich vertretene Beschwer- degegnerin ist mangels einer Begründung abzusehen (vgl. Suter/von Holzen, in: Sutter-Somm/Hasenböhler/Leuenberger, ZPO Komm., 3. A., 2016, Art. 95 N 40);-</w:t>
      </w:r>
    </w:p>
    <w:p>
      <w:r>
        <w:t>Kantonsgericht Schwyz 9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